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7C" w:rsidRPr="00FD7C5F" w:rsidRDefault="0040537C" w:rsidP="00A30F7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ID"/>
        </w:rPr>
      </w:pPr>
      <w:proofErr w:type="spellStart"/>
      <w:r w:rsidRPr="00FD7C5F">
        <w:rPr>
          <w:rFonts w:ascii="Arial" w:eastAsia="Times New Roman" w:hAnsi="Arial" w:cs="Arial"/>
          <w:b/>
          <w:bCs/>
          <w:kern w:val="36"/>
          <w:sz w:val="36"/>
          <w:szCs w:val="36"/>
          <w:lang w:eastAsia="en-ID"/>
        </w:rPr>
        <w:t>Siklus</w:t>
      </w:r>
      <w:proofErr w:type="spellEnd"/>
      <w:r w:rsidRPr="00FD7C5F">
        <w:rPr>
          <w:rFonts w:ascii="Arial" w:eastAsia="Times New Roman" w:hAnsi="Arial" w:cs="Arial"/>
          <w:b/>
          <w:bCs/>
          <w:kern w:val="36"/>
          <w:sz w:val="36"/>
          <w:szCs w:val="36"/>
          <w:lang w:eastAsia="en-ID"/>
        </w:rPr>
        <w:t xml:space="preserve"> </w:t>
      </w:r>
      <w:proofErr w:type="spellStart"/>
      <w:r w:rsidRPr="00FD7C5F">
        <w:rPr>
          <w:rFonts w:ascii="Arial" w:eastAsia="Times New Roman" w:hAnsi="Arial" w:cs="Arial"/>
          <w:b/>
          <w:bCs/>
          <w:kern w:val="36"/>
          <w:sz w:val="36"/>
          <w:szCs w:val="36"/>
          <w:lang w:eastAsia="en-ID"/>
        </w:rPr>
        <w:t>Pengelolaan</w:t>
      </w:r>
      <w:proofErr w:type="spellEnd"/>
      <w:r w:rsidRPr="00FD7C5F">
        <w:rPr>
          <w:rFonts w:ascii="Arial" w:eastAsia="Times New Roman" w:hAnsi="Arial" w:cs="Arial"/>
          <w:b/>
          <w:bCs/>
          <w:kern w:val="36"/>
          <w:sz w:val="36"/>
          <w:szCs w:val="36"/>
          <w:lang w:eastAsia="en-ID"/>
        </w:rPr>
        <w:t xml:space="preserve"> </w:t>
      </w:r>
      <w:proofErr w:type="spellStart"/>
      <w:r w:rsidRPr="00FD7C5F">
        <w:rPr>
          <w:rFonts w:ascii="Arial" w:eastAsia="Times New Roman" w:hAnsi="Arial" w:cs="Arial"/>
          <w:b/>
          <w:bCs/>
          <w:kern w:val="36"/>
          <w:sz w:val="36"/>
          <w:szCs w:val="36"/>
          <w:lang w:eastAsia="en-ID"/>
        </w:rPr>
        <w:t>Keuangan</w:t>
      </w:r>
      <w:proofErr w:type="spellEnd"/>
      <w:r w:rsidRPr="00FD7C5F">
        <w:rPr>
          <w:rFonts w:ascii="Arial" w:eastAsia="Times New Roman" w:hAnsi="Arial" w:cs="Arial"/>
          <w:b/>
          <w:bCs/>
          <w:kern w:val="36"/>
          <w:sz w:val="36"/>
          <w:szCs w:val="36"/>
          <w:lang w:eastAsia="en-ID"/>
        </w:rPr>
        <w:t xml:space="preserve"> </w:t>
      </w:r>
      <w:proofErr w:type="spellStart"/>
      <w:r w:rsidRPr="00FD7C5F">
        <w:rPr>
          <w:rFonts w:ascii="Arial" w:eastAsia="Times New Roman" w:hAnsi="Arial" w:cs="Arial"/>
          <w:b/>
          <w:bCs/>
          <w:kern w:val="36"/>
          <w:sz w:val="36"/>
          <w:szCs w:val="36"/>
          <w:lang w:eastAsia="en-ID"/>
        </w:rPr>
        <w:t>Desa</w:t>
      </w:r>
      <w:proofErr w:type="spellEnd"/>
    </w:p>
    <w:p w:rsidR="0040537C" w:rsidRPr="00A30F79" w:rsidRDefault="0040537C" w:rsidP="004053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</w:pPr>
    </w:p>
    <w:p w:rsidR="0040537C" w:rsidRDefault="0040537C" w:rsidP="004053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</w:pPr>
    </w:p>
    <w:p w:rsidR="00A30F79" w:rsidRDefault="00A30F79" w:rsidP="004053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</w:pPr>
    </w:p>
    <w:p w:rsidR="00A30F79" w:rsidRPr="00A30F79" w:rsidRDefault="00A30F79" w:rsidP="004053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</w:pPr>
    </w:p>
    <w:p w:rsidR="0040537C" w:rsidRPr="00A30F79" w:rsidRDefault="0040537C" w:rsidP="00FD7C5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</w:pPr>
      <w:proofErr w:type="spellStart"/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 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adalah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semua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hak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kewajiban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dapat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dinilai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dengan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uang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serta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segala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sesuatu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berupa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uang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barang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berhubungan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dengan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pelaksanaan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hak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kewajiban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n-ID"/>
        </w:rPr>
        <w:t>.</w:t>
      </w:r>
    </w:p>
    <w:p w:rsidR="00A30F79" w:rsidRPr="00A30F79" w:rsidRDefault="00A30F79" w:rsidP="00FD7C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tbl>
      <w:tblPr>
        <w:tblW w:w="817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75"/>
      </w:tblGrid>
      <w:tr w:rsidR="0040537C" w:rsidRPr="00A30F79" w:rsidTr="0040537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37C" w:rsidRPr="00A30F79" w:rsidRDefault="0040537C" w:rsidP="00FD7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30F79">
              <w:rPr>
                <w:rFonts w:ascii="Arial" w:eastAsia="Times New Roman" w:hAnsi="Arial" w:cs="Arial"/>
                <w:b/>
                <w:bCs/>
                <w:noProof/>
                <w:color w:val="444444"/>
                <w:sz w:val="24"/>
                <w:szCs w:val="24"/>
                <w:bdr w:val="none" w:sz="0" w:space="0" w:color="auto" w:frame="1"/>
                <w:lang w:eastAsia="en-ID"/>
              </w:rPr>
              <w:drawing>
                <wp:inline distT="0" distB="0" distL="0" distR="0" wp14:anchorId="24A8AC2A" wp14:editId="54972B70">
                  <wp:extent cx="3810000" cy="2219325"/>
                  <wp:effectExtent l="0" t="0" r="0" b="9525"/>
                  <wp:docPr id="5" name="Picture 5" descr="Pengelolaan Keuangan Desa adalah keseluruhan kegiatan yang meliputi perencanaan, pelaksanaan, penatausahaan, pelaporan dan pertanggungjawaban keuangan Desa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gelolaan Keuangan Desa adalah keseluruhan kegiatan yang meliputi perencanaan, pelaksanaan, penatausahaan, pelaporan dan pertanggungjawaban keuangan Desa.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37C" w:rsidRPr="00A30F79" w:rsidTr="0040537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37C" w:rsidRPr="00A30F79" w:rsidRDefault="0040537C" w:rsidP="00FD7C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A30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ID"/>
              </w:rPr>
              <w:t>Siklus</w:t>
            </w:r>
            <w:proofErr w:type="spellEnd"/>
            <w:r w:rsidRPr="00A30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Pr="00A30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ID"/>
              </w:rPr>
              <w:t>Pengelolaan</w:t>
            </w:r>
            <w:proofErr w:type="spellEnd"/>
            <w:r w:rsidRPr="00A30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Pr="00A30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ID"/>
              </w:rPr>
              <w:t>Keuangan</w:t>
            </w:r>
            <w:proofErr w:type="spellEnd"/>
            <w:r w:rsidRPr="00A30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ID"/>
              </w:rPr>
              <w:t xml:space="preserve"> </w:t>
            </w:r>
            <w:proofErr w:type="spellStart"/>
            <w:r w:rsidR="00FD7C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ID"/>
              </w:rPr>
              <w:t>Desa</w:t>
            </w:r>
            <w:proofErr w:type="spellEnd"/>
          </w:p>
        </w:tc>
      </w:tr>
    </w:tbl>
    <w:p w:rsidR="00A30F79" w:rsidRPr="00A30F79" w:rsidRDefault="00A30F79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</w:pP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pelaksanaan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pengelolaan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dilakukan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Basis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(Cash Basis). Basis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merupakan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pencatatan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transaksi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pada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saat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diterima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dikeluarkan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Rekening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 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Artinya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pencatatan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baru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dilakukan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ketika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terjadi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transaksi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dimana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uang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benar-benar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sudah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diterima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dikeluarkan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</w:p>
    <w:p w:rsidR="00A30F79" w:rsidRPr="00A30F79" w:rsidRDefault="00A30F79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bahasa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yang lain, Basis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adalah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basis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akuntansi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mengakui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pengaruh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transaksi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peristiwa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lainnya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pada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saat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setara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diterima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dibayar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digunakan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pengakuan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pendapatan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belanja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pembayaran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Basis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(Cash)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berbeda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Basis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Akrual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(Accrual Basis).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basis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akrual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transaksi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sudah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dapat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dicatat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walaupun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uang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belum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benar-benar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diterima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dikeluarkan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</w:p>
    <w:p w:rsidR="00A30F79" w:rsidRDefault="00A30F79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</w:pPr>
    </w:p>
    <w:p w:rsidR="00A30F79" w:rsidRDefault="00A30F79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:rsidR="00FD7C5F" w:rsidRPr="00A30F79" w:rsidRDefault="00FD7C5F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:rsidR="0040537C" w:rsidRPr="00FD7C5F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en-ID"/>
        </w:rPr>
      </w:pPr>
      <w:r w:rsidRPr="00FD7C5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ID"/>
        </w:rPr>
        <w:lastRenderedPageBreak/>
        <w:t xml:space="preserve">5 </w:t>
      </w:r>
      <w:proofErr w:type="spellStart"/>
      <w:r w:rsidRPr="00FD7C5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ID"/>
        </w:rPr>
        <w:t>Siklus</w:t>
      </w:r>
      <w:proofErr w:type="spellEnd"/>
      <w:r w:rsidRPr="00FD7C5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ID"/>
        </w:rPr>
        <w:t xml:space="preserve"> </w:t>
      </w:r>
      <w:proofErr w:type="spellStart"/>
      <w:r w:rsidRPr="00FD7C5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ID"/>
        </w:rPr>
        <w:t>Pengelolaan</w:t>
      </w:r>
      <w:proofErr w:type="spellEnd"/>
      <w:r w:rsidRPr="00FD7C5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ID"/>
        </w:rPr>
        <w:t xml:space="preserve"> </w:t>
      </w:r>
      <w:proofErr w:type="spellStart"/>
      <w:r w:rsidRPr="00FD7C5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ID"/>
        </w:rPr>
        <w:t>Keuangan</w:t>
      </w:r>
      <w:proofErr w:type="spellEnd"/>
      <w:r w:rsidRPr="00FD7C5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ID"/>
        </w:rPr>
        <w:t xml:space="preserve"> </w:t>
      </w:r>
      <w:proofErr w:type="spellStart"/>
      <w:r w:rsidRPr="00FD7C5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ID"/>
        </w:rPr>
        <w:t>Desa</w:t>
      </w:r>
      <w:proofErr w:type="spellEnd"/>
      <w:r w:rsidRPr="00FD7C5F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ID"/>
        </w:rPr>
        <w:t> 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Pengelolaan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adalah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keseluruhan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kegiatan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meliputi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perencanaan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pelaksanaan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penatausahaan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pertanggungjawaban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 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:rsidR="0040537C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Adapun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5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Siklus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Pengelolaan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sebagai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berikut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:</w:t>
      </w:r>
    </w:p>
    <w:p w:rsidR="00FD7C5F" w:rsidRPr="00A30F79" w:rsidRDefault="00FD7C5F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 xml:space="preserve">1. </w:t>
      </w:r>
      <w:proofErr w:type="spellStart"/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>Perencanaan</w:t>
      </w:r>
      <w:proofErr w:type="spellEnd"/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Perencanaan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pengelolaan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merupakan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perencanaan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penerimaan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pengeluaran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pemerintah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pada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tahun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anggaran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berkenan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dianggarankan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APB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:rsidR="00FD7C5F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</w:pPr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 xml:space="preserve">2. </w:t>
      </w:r>
      <w:proofErr w:type="spellStart"/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>Pelaksanaan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Pelaksanaan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pengelolaan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merupakan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penerimaan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pengeluaran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dilaksanakan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melalui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rekening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pada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bank yang </w:t>
      </w:r>
      <w:proofErr w:type="spell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ditunjuk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Bupati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/</w:t>
      </w:r>
      <w:proofErr w:type="spell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Wali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Kota.</w:t>
      </w:r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Rekening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dibuat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oleh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Pemerintah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spesimen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tanda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kepala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Kaur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kondisi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 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belum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memiliki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pelayanan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perbankan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di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wilayahny</w:t>
      </w:r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rekening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dibuka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di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wilayah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terdekat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  <w:r w:rsidRPr="00A30F79">
        <w:rPr>
          <w:rFonts w:ascii="Arial" w:eastAsia="Times New Roman" w:hAnsi="Arial" w:cs="Arial"/>
          <w:color w:val="000000"/>
          <w:sz w:val="24"/>
          <w:szCs w:val="24"/>
          <w:lang w:eastAsia="en-ID"/>
        </w:rPr>
        <w:br/>
      </w:r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br/>
        <w:t xml:space="preserve">3. </w:t>
      </w:r>
      <w:proofErr w:type="spellStart"/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>Penatausahaan</w:t>
      </w:r>
      <w:proofErr w:type="spellEnd"/>
    </w:p>
    <w:p w:rsidR="00FD7C5F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Penatausahaan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dilakukan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oleh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Kaur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sebagai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pelaksana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fungsi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kebendaharaan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 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Penatausahaan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dilakukan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mencatat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setiap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penerimaan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pengeluaran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buka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umum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(BKU)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ditutup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setiap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akhir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bulan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penatausahaan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diwajibkan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membuat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Buku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Pembantu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Umum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terdiri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proofErr w:type="gram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:</w:t>
      </w:r>
      <w:proofErr w:type="gramEnd"/>
    </w:p>
    <w:p w:rsidR="0040537C" w:rsidRPr="00A30F79" w:rsidRDefault="0040537C" w:rsidP="00FD7C5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Buku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pembantu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bank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merupakan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buku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catatan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penerimaan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pengeluaran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melalui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rekening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kas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</w:p>
    <w:p w:rsidR="0040537C" w:rsidRPr="00A30F79" w:rsidRDefault="0040537C" w:rsidP="00FD7C5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Buku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pembantu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pajak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merupakan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buku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catatan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penerimaan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potongan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pajak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pengeluaran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setoran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pajak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 </w:t>
      </w:r>
    </w:p>
    <w:p w:rsidR="00A30F79" w:rsidRPr="00FD7C5F" w:rsidRDefault="0040537C" w:rsidP="00FD7C5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Buku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pembantu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panjar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merupakan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catatan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pemberian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pertanggungjawaban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uang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panjar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lastRenderedPageBreak/>
        <w:t xml:space="preserve">4. </w:t>
      </w:r>
      <w:proofErr w:type="spellStart"/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>Pelaporan</w:t>
      </w:r>
      <w:proofErr w:type="spellEnd"/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Kepala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menyampaikan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pelaksana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APB</w:t>
      </w:r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Des semester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pertama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kepada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Bupati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/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Walikota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melalui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camat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terdiri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pelaksanaan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APB</w:t>
      </w:r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Des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realisasi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kegiatan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Kepala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menyusun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proofErr w:type="gram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cara</w:t>
      </w:r>
      <w:proofErr w:type="spellEnd"/>
      <w:proofErr w:type="gram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menggabungkan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seluruh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paling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lambat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minggu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kedua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bulan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Juli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tahun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berjalan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 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 xml:space="preserve">5. </w:t>
      </w:r>
      <w:proofErr w:type="spellStart"/>
      <w:r w:rsidRPr="00A30F7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>Pertanggungjawaban</w:t>
      </w:r>
      <w:proofErr w:type="spellEnd"/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pertanggungjawaban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disampaikan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paling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lambat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3 (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tiga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)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bulan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setelah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akhir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tahun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anggaran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berkenaan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ditetapkan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Peraturan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Peraturan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disertai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realisasi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daftar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program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sektoral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program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daerah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program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lainnya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masuk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br/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pertanggungjawaban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merupakan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bagian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penyelenggaraan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Pemerintahan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akhir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tahun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anggaran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 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Selain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pertanggungjawaban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kepada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Bupati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/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Walikota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pemerintah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berkewajiban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menginformasikan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kepada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masyarakat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melalui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media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informasi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Adapun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informasi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kepada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masyarakat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paling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sedikit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harus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memuat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realisasi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APBDesa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realisasi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kegiatan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kegiatan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belum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</w:t>
      </w:r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lesai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/</w:t>
      </w:r>
      <w:proofErr w:type="spell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tidak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terlaksana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laporan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sisa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anggaran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alamat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pengaduan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.</w:t>
      </w: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:rsidR="0040537C" w:rsidRPr="00A30F79" w:rsidRDefault="0040537C" w:rsidP="00FD7C5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Secara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lengkap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tentang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pengelolaan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keuangan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desa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dapat</w:t>
      </w:r>
      <w:proofErr w:type="spellEnd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kalian </w:t>
      </w:r>
      <w:proofErr w:type="spellStart"/>
      <w:proofErr w:type="gramStart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baca</w:t>
      </w:r>
      <w:proofErr w:type="spellEnd"/>
      <w:r w:rsidR="00FD7C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bookmarkStart w:id="0" w:name="_GoBack"/>
      <w:bookmarkEnd w:id="0"/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> </w:t>
      </w:r>
      <w:proofErr w:type="gramEnd"/>
      <w:hyperlink r:id="rId7" w:tgtFrame="_blank" w:history="1">
        <w:proofErr w:type="spellStart"/>
        <w:r w:rsidRPr="00A30F79">
          <w:rPr>
            <w:rFonts w:ascii="Arial" w:eastAsia="Times New Roman" w:hAnsi="Arial" w:cs="Arial"/>
            <w:color w:val="3D85C6"/>
            <w:sz w:val="24"/>
            <w:szCs w:val="24"/>
            <w:bdr w:val="none" w:sz="0" w:space="0" w:color="auto" w:frame="1"/>
            <w:lang w:eastAsia="en-ID"/>
          </w:rPr>
          <w:t>Permendagri</w:t>
        </w:r>
        <w:proofErr w:type="spellEnd"/>
        <w:r w:rsidRPr="00A30F79">
          <w:rPr>
            <w:rFonts w:ascii="Arial" w:eastAsia="Times New Roman" w:hAnsi="Arial" w:cs="Arial"/>
            <w:color w:val="3D85C6"/>
            <w:sz w:val="24"/>
            <w:szCs w:val="24"/>
            <w:bdr w:val="none" w:sz="0" w:space="0" w:color="auto" w:frame="1"/>
            <w:lang w:eastAsia="en-ID"/>
          </w:rPr>
          <w:t xml:space="preserve"> </w:t>
        </w:r>
        <w:proofErr w:type="spellStart"/>
        <w:r w:rsidRPr="00A30F79">
          <w:rPr>
            <w:rFonts w:ascii="Arial" w:eastAsia="Times New Roman" w:hAnsi="Arial" w:cs="Arial"/>
            <w:color w:val="3D85C6"/>
            <w:sz w:val="24"/>
            <w:szCs w:val="24"/>
            <w:bdr w:val="none" w:sz="0" w:space="0" w:color="auto" w:frame="1"/>
            <w:lang w:eastAsia="en-ID"/>
          </w:rPr>
          <w:t>Nomor</w:t>
        </w:r>
        <w:proofErr w:type="spellEnd"/>
        <w:r w:rsidRPr="00A30F79">
          <w:rPr>
            <w:rFonts w:ascii="Arial" w:eastAsia="Times New Roman" w:hAnsi="Arial" w:cs="Arial"/>
            <w:color w:val="3D85C6"/>
            <w:sz w:val="24"/>
            <w:szCs w:val="24"/>
            <w:bdr w:val="none" w:sz="0" w:space="0" w:color="auto" w:frame="1"/>
            <w:lang w:eastAsia="en-ID"/>
          </w:rPr>
          <w:t xml:space="preserve"> 20/2018 </w:t>
        </w:r>
        <w:proofErr w:type="spellStart"/>
        <w:r w:rsidRPr="00A30F79">
          <w:rPr>
            <w:rFonts w:ascii="Arial" w:eastAsia="Times New Roman" w:hAnsi="Arial" w:cs="Arial"/>
            <w:color w:val="3D85C6"/>
            <w:sz w:val="24"/>
            <w:szCs w:val="24"/>
            <w:bdr w:val="none" w:sz="0" w:space="0" w:color="auto" w:frame="1"/>
            <w:lang w:eastAsia="en-ID"/>
          </w:rPr>
          <w:t>tentang</w:t>
        </w:r>
        <w:proofErr w:type="spellEnd"/>
        <w:r w:rsidRPr="00A30F79">
          <w:rPr>
            <w:rFonts w:ascii="Arial" w:eastAsia="Times New Roman" w:hAnsi="Arial" w:cs="Arial"/>
            <w:color w:val="3D85C6"/>
            <w:sz w:val="24"/>
            <w:szCs w:val="24"/>
            <w:bdr w:val="none" w:sz="0" w:space="0" w:color="auto" w:frame="1"/>
            <w:lang w:eastAsia="en-ID"/>
          </w:rPr>
          <w:t xml:space="preserve"> </w:t>
        </w:r>
        <w:proofErr w:type="spellStart"/>
        <w:r w:rsidRPr="00A30F79">
          <w:rPr>
            <w:rFonts w:ascii="Arial" w:eastAsia="Times New Roman" w:hAnsi="Arial" w:cs="Arial"/>
            <w:color w:val="3D85C6"/>
            <w:sz w:val="24"/>
            <w:szCs w:val="24"/>
            <w:bdr w:val="none" w:sz="0" w:space="0" w:color="auto" w:frame="1"/>
            <w:lang w:eastAsia="en-ID"/>
          </w:rPr>
          <w:t>Pengelolaan</w:t>
        </w:r>
        <w:proofErr w:type="spellEnd"/>
        <w:r w:rsidRPr="00A30F79">
          <w:rPr>
            <w:rFonts w:ascii="Arial" w:eastAsia="Times New Roman" w:hAnsi="Arial" w:cs="Arial"/>
            <w:color w:val="3D85C6"/>
            <w:sz w:val="24"/>
            <w:szCs w:val="24"/>
            <w:bdr w:val="none" w:sz="0" w:space="0" w:color="auto" w:frame="1"/>
            <w:lang w:eastAsia="en-ID"/>
          </w:rPr>
          <w:t xml:space="preserve"> </w:t>
        </w:r>
        <w:proofErr w:type="spellStart"/>
        <w:r w:rsidRPr="00A30F79">
          <w:rPr>
            <w:rFonts w:ascii="Arial" w:eastAsia="Times New Roman" w:hAnsi="Arial" w:cs="Arial"/>
            <w:color w:val="3D85C6"/>
            <w:sz w:val="24"/>
            <w:szCs w:val="24"/>
            <w:bdr w:val="none" w:sz="0" w:space="0" w:color="auto" w:frame="1"/>
            <w:lang w:eastAsia="en-ID"/>
          </w:rPr>
          <w:t>Keuangan</w:t>
        </w:r>
        <w:proofErr w:type="spellEnd"/>
        <w:r w:rsidRPr="00A30F79">
          <w:rPr>
            <w:rFonts w:ascii="Arial" w:eastAsia="Times New Roman" w:hAnsi="Arial" w:cs="Arial"/>
            <w:color w:val="3D85C6"/>
            <w:sz w:val="24"/>
            <w:szCs w:val="24"/>
            <w:bdr w:val="none" w:sz="0" w:space="0" w:color="auto" w:frame="1"/>
            <w:lang w:eastAsia="en-ID"/>
          </w:rPr>
          <w:t xml:space="preserve"> </w:t>
        </w:r>
        <w:proofErr w:type="spellStart"/>
        <w:r w:rsidRPr="00A30F79">
          <w:rPr>
            <w:rFonts w:ascii="Arial" w:eastAsia="Times New Roman" w:hAnsi="Arial" w:cs="Arial"/>
            <w:color w:val="3D85C6"/>
            <w:sz w:val="24"/>
            <w:szCs w:val="24"/>
            <w:bdr w:val="none" w:sz="0" w:space="0" w:color="auto" w:frame="1"/>
            <w:lang w:eastAsia="en-ID"/>
          </w:rPr>
          <w:t>Desa</w:t>
        </w:r>
        <w:proofErr w:type="spellEnd"/>
      </w:hyperlink>
      <w:r w:rsidRPr="00A30F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D"/>
        </w:rPr>
        <w:t xml:space="preserve">. </w:t>
      </w:r>
    </w:p>
    <w:p w:rsidR="000339BE" w:rsidRPr="00A30F79" w:rsidRDefault="000339BE" w:rsidP="00A30F7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339BE" w:rsidRPr="00A3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910D5"/>
    <w:multiLevelType w:val="multilevel"/>
    <w:tmpl w:val="D35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C"/>
    <w:rsid w:val="000339BE"/>
    <w:rsid w:val="0040537C"/>
    <w:rsid w:val="00A30F79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6CD6-DE33-480C-B557-0F9725A7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sehtunong.blogspot.co.id/2018/05/permendagri-nomor-20-tahun-2018-tenta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6w-Xio6_p4s/WwRpRWabbaI/AAAAAAAAH9A/a2AxrSzzY584xWqTESXP-OQ4vToydmd4ACLcBGAs/s1600/siklus+pengelolaan+keuangan+desa+terbaru.image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2</cp:revision>
  <dcterms:created xsi:type="dcterms:W3CDTF">2020-07-28T12:56:00Z</dcterms:created>
  <dcterms:modified xsi:type="dcterms:W3CDTF">2020-07-28T12:56:00Z</dcterms:modified>
</cp:coreProperties>
</file>